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Special Select Board Meeting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Mount Holly Town Office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50 School St</w:t>
        <w:br w:type="textWrapping"/>
        <w:t xml:space="preserve">Mount Holly, VT 05758</w:t>
        <w:br w:type="textWrapping"/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July 14th 2025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4:30 pm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AGENDA</w:t>
        <w:br w:type="textWrapping"/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Book Antiqua" w:cs="Book Antiqua" w:eastAsia="Book Antiqua" w:hAnsi="Book Antiqu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Call to Order</w:t>
        <w:br w:type="textWrapping"/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Liquor License Application: Okemo View Lane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Adjourn</w:t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